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3" w:type="dxa"/>
        <w:tblLayout w:type="fixed"/>
        <w:tblLook w:val="04A0" w:firstRow="1" w:lastRow="0" w:firstColumn="1" w:lastColumn="0" w:noHBand="0" w:noVBand="1"/>
      </w:tblPr>
      <w:tblGrid>
        <w:gridCol w:w="808"/>
        <w:gridCol w:w="1540"/>
        <w:gridCol w:w="560"/>
        <w:gridCol w:w="2162"/>
        <w:gridCol w:w="282"/>
        <w:gridCol w:w="4961"/>
      </w:tblGrid>
      <w:tr w:rsidR="00C12713">
        <w:trPr>
          <w:cantSplit/>
          <w:trHeight w:val="1302"/>
        </w:trPr>
        <w:tc>
          <w:tcPr>
            <w:tcW w:w="5070" w:type="dxa"/>
            <w:gridSpan w:val="4"/>
            <w:vMerge w:val="restart"/>
          </w:tcPr>
          <w:p w:rsidR="00C12713" w:rsidRDefault="00BE288D">
            <w:pPr>
              <w:spacing w:before="60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br w:type="page" w:clear="all"/>
            </w:r>
            <w:r>
              <w:rPr>
                <w:b/>
              </w:rPr>
              <w:t>ЗАКОНОДАТЕЛЬНОЕ СОБРАНИЕ</w:t>
            </w:r>
          </w:p>
          <w:p w:rsidR="00C12713" w:rsidRDefault="00BE288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НОВОСИБИРСКОЙ ОБЛАСТИ</w:t>
            </w:r>
          </w:p>
          <w:p w:rsidR="00C12713" w:rsidRDefault="00C12713">
            <w:pPr>
              <w:jc w:val="center"/>
              <w:rPr>
                <w:b/>
              </w:rPr>
            </w:pPr>
          </w:p>
          <w:p w:rsidR="00C12713" w:rsidRDefault="00BE28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АППАРАТ</w:t>
            </w:r>
          </w:p>
          <w:p w:rsidR="00C12713" w:rsidRDefault="00BE288D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17145</wp:posOffset>
                      </wp:positionV>
                      <wp:extent cx="457200" cy="228600"/>
                      <wp:effectExtent l="0" t="0" r="0" b="190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12713" w:rsidRDefault="00C12713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a="http://schemas.openxmlformats.org/drawingml/2006/main">
                  <w:pict>
                    <v:shape id="shape 0" o:spid="_x0000_s0" o:spt="202" type="#_x0000_t202" style="position:absolute;z-index:251659264;o:allowoverlap:true;o:allowincell:true;mso-position-horizontal-relative:text;margin-left:114.00pt;mso-position-horizontal:absolute;mso-position-vertical-relative:text;margin-top:1.35pt;mso-position-vertical:absolute;width:36.00pt;height:18.00pt;mso-wrap-distance-left:9.00pt;mso-wrap-distance-top:0.00pt;mso-wrap-distance-right:9.00pt;mso-wrap-distance-bottom:0.00pt;v-text-anchor:top;visibility:visible;" filled="f" stroked="f">
                      <v:textbox inset="0,0,0,0">
                        <w:txbxContent>
                          <w:p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  <w:r>
                              <w:rPr>
                                <w:szCs w:val="16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2713" w:rsidRDefault="00BE2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д. 3,</w:t>
            </w:r>
          </w:p>
          <w:p w:rsidR="00C12713" w:rsidRDefault="00BE288D">
            <w:pPr>
              <w:ind w:right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630007,</w:t>
            </w:r>
          </w:p>
          <w:p w:rsidR="00C12713" w:rsidRDefault="00BE288D">
            <w:pPr>
              <w:tabs>
                <w:tab w:val="left" w:pos="-391"/>
                <w:tab w:val="left" w:pos="0"/>
              </w:tabs>
              <w:ind w:left="-142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тел: 8 (383) 223-08-27, факс: 8 (383) 223-79-05</w:t>
            </w:r>
          </w:p>
          <w:p w:rsidR="00C12713" w:rsidRDefault="00BE2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hyperlink r:id="rId8" w:tooltip="mailto:info@zsnso.ru" w:history="1">
              <w:r>
                <w:rPr>
                  <w:rStyle w:val="af9"/>
                  <w:sz w:val="24"/>
                  <w:szCs w:val="24"/>
                  <w:lang w:val="en-US"/>
                </w:rPr>
                <w:t>info</w:t>
              </w:r>
              <w:r>
                <w:rPr>
                  <w:rStyle w:val="af9"/>
                  <w:sz w:val="24"/>
                  <w:szCs w:val="24"/>
                </w:rPr>
                <w:t>@</w:t>
              </w:r>
              <w:r>
                <w:rPr>
                  <w:rStyle w:val="af9"/>
                  <w:sz w:val="24"/>
                  <w:szCs w:val="24"/>
                  <w:lang w:val="en-US"/>
                </w:rPr>
                <w:t>zsnso</w:t>
              </w:r>
              <w:r>
                <w:rPr>
                  <w:rStyle w:val="af9"/>
                  <w:sz w:val="24"/>
                  <w:szCs w:val="24"/>
                </w:rPr>
                <w:t>.</w:t>
              </w:r>
              <w:r>
                <w:rPr>
                  <w:rStyle w:val="af9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http</w:t>
            </w:r>
            <w:r>
              <w:rPr>
                <w:sz w:val="24"/>
                <w:szCs w:val="24"/>
              </w:rPr>
              <w:t>://</w:t>
            </w:r>
            <w:r>
              <w:rPr>
                <w:sz w:val="24"/>
                <w:szCs w:val="24"/>
                <w:lang w:val="en-US"/>
              </w:rPr>
              <w:t>www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 w:rsidR="00C12713" w:rsidRDefault="00C12713">
            <w:pPr>
              <w:jc w:val="center"/>
              <w:rPr>
                <w:sz w:val="24"/>
                <w:szCs w:val="24"/>
              </w:rPr>
            </w:pPr>
          </w:p>
          <w:p w:rsidR="00C12713" w:rsidRDefault="00C1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dxa"/>
            <w:vMerge w:val="restart"/>
          </w:tcPr>
          <w:p w:rsidR="00C12713" w:rsidRDefault="00C12713"/>
        </w:tc>
        <w:tc>
          <w:tcPr>
            <w:tcW w:w="4961" w:type="dxa"/>
          </w:tcPr>
          <w:p w:rsidR="00C12713" w:rsidRDefault="00BE288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Председателю Законодательного Собрания Новосибирской области </w:t>
            </w:r>
          </w:p>
          <w:p w:rsidR="00C12713" w:rsidRDefault="00C12713">
            <w:pPr>
              <w:rPr>
                <w:sz w:val="27"/>
                <w:szCs w:val="27"/>
              </w:rPr>
            </w:pPr>
          </w:p>
          <w:p w:rsidR="00C12713" w:rsidRDefault="00BE288D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Шимкиву</w:t>
            </w:r>
            <w:proofErr w:type="spellEnd"/>
            <w:r>
              <w:rPr>
                <w:sz w:val="27"/>
                <w:szCs w:val="27"/>
              </w:rPr>
              <w:t xml:space="preserve"> А.И.</w:t>
            </w:r>
            <w:r w:rsidR="001C2345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</w:p>
        </w:tc>
      </w:tr>
      <w:tr w:rsidR="00C12713">
        <w:trPr>
          <w:cantSplit/>
          <w:trHeight w:val="1891"/>
        </w:trPr>
        <w:tc>
          <w:tcPr>
            <w:tcW w:w="5070" w:type="dxa"/>
            <w:gridSpan w:val="4"/>
            <w:vMerge/>
            <w:vAlign w:val="center"/>
          </w:tcPr>
          <w:p w:rsidR="00C12713" w:rsidRDefault="00C127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2" w:type="dxa"/>
            <w:vMerge/>
            <w:vAlign w:val="center"/>
          </w:tcPr>
          <w:p w:rsidR="00C12713" w:rsidRDefault="00C12713">
            <w:pPr>
              <w:jc w:val="left"/>
            </w:pPr>
          </w:p>
        </w:tc>
        <w:tc>
          <w:tcPr>
            <w:tcW w:w="4961" w:type="dxa"/>
            <w:vMerge w:val="restart"/>
          </w:tcPr>
          <w:p w:rsidR="00C12713" w:rsidRDefault="00C12713">
            <w:pPr>
              <w:spacing w:line="240" w:lineRule="atLeast"/>
              <w:rPr>
                <w:sz w:val="27"/>
                <w:szCs w:val="27"/>
              </w:rPr>
            </w:pPr>
          </w:p>
        </w:tc>
      </w:tr>
      <w:tr w:rsidR="00C12713">
        <w:trPr>
          <w:cantSplit/>
          <w:trHeight w:val="262"/>
        </w:trPr>
        <w:tc>
          <w:tcPr>
            <w:tcW w:w="234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C12713" w:rsidRDefault="00BE2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05.03.2025</w:t>
            </w:r>
          </w:p>
        </w:tc>
        <w:tc>
          <w:tcPr>
            <w:tcW w:w="560" w:type="dxa"/>
            <w:vAlign w:val="bottom"/>
          </w:tcPr>
          <w:p w:rsidR="00C12713" w:rsidRDefault="00BE2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C12713" w:rsidRDefault="00BE288D">
            <w:pPr>
              <w:rPr>
                <w:sz w:val="24"/>
                <w:szCs w:val="24"/>
              </w:rPr>
            </w:pPr>
            <w:r w:rsidRPr="00BE288D">
              <w:rPr>
                <w:sz w:val="24"/>
                <w:szCs w:val="24"/>
              </w:rPr>
              <w:t>07-П/127-2025</w:t>
            </w:r>
          </w:p>
        </w:tc>
        <w:tc>
          <w:tcPr>
            <w:tcW w:w="282" w:type="dxa"/>
            <w:vMerge/>
            <w:vAlign w:val="center"/>
          </w:tcPr>
          <w:p w:rsidR="00C12713" w:rsidRDefault="00C127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C12713" w:rsidRDefault="00C12713">
            <w:pPr>
              <w:jc w:val="left"/>
              <w:rPr>
                <w:sz w:val="26"/>
                <w:szCs w:val="26"/>
              </w:rPr>
            </w:pPr>
          </w:p>
        </w:tc>
      </w:tr>
      <w:tr w:rsidR="00C12713">
        <w:trPr>
          <w:cantSplit/>
          <w:trHeight w:val="70"/>
        </w:trPr>
        <w:tc>
          <w:tcPr>
            <w:tcW w:w="5070" w:type="dxa"/>
            <w:gridSpan w:val="4"/>
            <w:vAlign w:val="bottom"/>
          </w:tcPr>
          <w:p w:rsidR="00C12713" w:rsidRDefault="00C1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dxa"/>
            <w:vMerge/>
            <w:vAlign w:val="center"/>
          </w:tcPr>
          <w:p w:rsidR="00C12713" w:rsidRDefault="00C127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C12713" w:rsidRDefault="00C12713">
            <w:pPr>
              <w:jc w:val="left"/>
              <w:rPr>
                <w:sz w:val="26"/>
                <w:szCs w:val="26"/>
              </w:rPr>
            </w:pPr>
          </w:p>
        </w:tc>
      </w:tr>
      <w:tr w:rsidR="00C12713">
        <w:trPr>
          <w:cantSplit/>
          <w:trHeight w:val="281"/>
        </w:trPr>
        <w:tc>
          <w:tcPr>
            <w:tcW w:w="808" w:type="dxa"/>
            <w:vAlign w:val="bottom"/>
          </w:tcPr>
          <w:p w:rsidR="00C12713" w:rsidRDefault="00BE2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C12713" w:rsidRDefault="00C1271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12713" w:rsidRDefault="00BE2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1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C12713" w:rsidRDefault="00C12713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vMerge/>
            <w:vAlign w:val="center"/>
          </w:tcPr>
          <w:p w:rsidR="00C12713" w:rsidRDefault="00C127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C12713" w:rsidRDefault="00C12713">
            <w:pPr>
              <w:jc w:val="left"/>
              <w:rPr>
                <w:sz w:val="26"/>
                <w:szCs w:val="26"/>
              </w:rPr>
            </w:pPr>
          </w:p>
        </w:tc>
      </w:tr>
      <w:tr w:rsidR="00C12713">
        <w:tc>
          <w:tcPr>
            <w:tcW w:w="5068" w:type="dxa"/>
            <w:gridSpan w:val="4"/>
          </w:tcPr>
          <w:p w:rsidR="00C12713" w:rsidRDefault="00C12713">
            <w:pPr>
              <w:rPr>
                <w:rFonts w:cs="Times New Roman"/>
                <w:sz w:val="27"/>
                <w:szCs w:val="27"/>
              </w:rPr>
            </w:pPr>
          </w:p>
          <w:p w:rsidR="00C12713" w:rsidRDefault="00BE288D">
            <w:pPr>
              <w:rPr>
                <w:rFonts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7"/>
                <w:szCs w:val="27"/>
              </w:rPr>
              <w:t xml:space="preserve">Об </w:t>
            </w:r>
            <w:r>
              <w:rPr>
                <w:rFonts w:eastAsia="Times New Roman" w:cs="Times New Roman"/>
                <w:color w:val="000000" w:themeColor="text1"/>
                <w:spacing w:val="1"/>
                <w:sz w:val="27"/>
                <w:szCs w:val="27"/>
                <w:highlight w:val="white"/>
              </w:rPr>
              <w:t>отдельных вопросах в сфере земельного законодательства</w:t>
            </w:r>
          </w:p>
        </w:tc>
        <w:tc>
          <w:tcPr>
            <w:tcW w:w="5244" w:type="dxa"/>
            <w:gridSpan w:val="2"/>
          </w:tcPr>
          <w:p w:rsidR="00C12713" w:rsidRDefault="00C12713">
            <w:pPr>
              <w:rPr>
                <w:rFonts w:cs="Times New Roman"/>
                <w:sz w:val="27"/>
                <w:szCs w:val="27"/>
              </w:rPr>
            </w:pPr>
          </w:p>
        </w:tc>
      </w:tr>
    </w:tbl>
    <w:p w:rsidR="00C12713" w:rsidRDefault="00C12713">
      <w:pPr>
        <w:jc w:val="center"/>
        <w:rPr>
          <w:rFonts w:cs="Times New Roman"/>
          <w:sz w:val="27"/>
          <w:szCs w:val="27"/>
        </w:rPr>
      </w:pPr>
    </w:p>
    <w:p w:rsidR="00C12713" w:rsidRDefault="00BE288D">
      <w:pPr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Уважаемый Андрей Иванович!</w:t>
      </w:r>
    </w:p>
    <w:p w:rsidR="00C12713" w:rsidRDefault="00C12713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1 марта 2025 года вступил в силу</w:t>
      </w:r>
      <w:r>
        <w:rPr>
          <w:rStyle w:val="af3"/>
          <w:sz w:val="27"/>
          <w:szCs w:val="27"/>
        </w:rPr>
        <w:footnoteReference w:id="1"/>
      </w:r>
      <w:r>
        <w:rPr>
          <w:sz w:val="27"/>
          <w:szCs w:val="27"/>
        </w:rPr>
        <w:t xml:space="preserve"> Федеральный закон от 26 декабря 2024 года </w:t>
      </w:r>
      <w:r>
        <w:rPr>
          <w:sz w:val="27"/>
          <w:szCs w:val="27"/>
        </w:rPr>
        <w:br/>
        <w:t>№ 487-ФЗ «О внесении изменений в отдельные законодательные акты Российской Федерации» (далее – Федеральный закон № 487-ФЗ).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>Федеральным законом № 487-ФЗ в Земельном кодексе Российской Федерации (далее – ЗК) устанавливается, что собственники земельных участков и лица, не являющиеся собственниками земельных участков, обязаны использовать земельные участки в соответствии с их разрешенным использованием</w:t>
      </w:r>
      <w:r>
        <w:rPr>
          <w:rStyle w:val="af3"/>
          <w:sz w:val="27"/>
          <w:szCs w:val="27"/>
        </w:rPr>
        <w:footnoteReference w:id="2"/>
      </w:r>
      <w:r>
        <w:rPr>
          <w:sz w:val="27"/>
          <w:szCs w:val="27"/>
        </w:rPr>
        <w:t>. Право постоянного (бессрочного) пользования, право пожизненного наследуемого владения земельным участком прекращается принудительно в случае использования земельного участка не в соответствии с его разрешенным использованием, или же в случае</w:t>
      </w:r>
      <w:proofErr w:type="gramEnd"/>
      <w:r>
        <w:rPr>
          <w:sz w:val="27"/>
          <w:szCs w:val="27"/>
        </w:rPr>
        <w:t xml:space="preserve"> невыполнения обязанности по приведению земель в состояние, пригодное для их использования в соответствии с их разрешенным использованием</w:t>
      </w:r>
      <w:r>
        <w:rPr>
          <w:rStyle w:val="af3"/>
          <w:sz w:val="27"/>
          <w:szCs w:val="27"/>
        </w:rPr>
        <w:footnoteReference w:id="3"/>
      </w:r>
      <w:r>
        <w:rPr>
          <w:sz w:val="27"/>
          <w:szCs w:val="27"/>
        </w:rPr>
        <w:t>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Федеральным законом № 487-ФЗ уточняется предмет и порядок осуществления федерального государственного земельного контроля (надзора)</w:t>
      </w:r>
      <w:r>
        <w:rPr>
          <w:rStyle w:val="af3"/>
          <w:sz w:val="27"/>
          <w:szCs w:val="27"/>
        </w:rPr>
        <w:footnoteReference w:id="4"/>
      </w:r>
      <w:r>
        <w:rPr>
          <w:sz w:val="27"/>
          <w:szCs w:val="27"/>
        </w:rPr>
        <w:t xml:space="preserve"> и муниципального земельного контроля</w:t>
      </w:r>
      <w:r>
        <w:rPr>
          <w:rStyle w:val="af3"/>
          <w:sz w:val="27"/>
          <w:szCs w:val="27"/>
        </w:rPr>
        <w:footnoteReference w:id="5"/>
      </w:r>
      <w:r>
        <w:rPr>
          <w:sz w:val="27"/>
          <w:szCs w:val="27"/>
        </w:rPr>
        <w:t xml:space="preserve">. В частности, должностные лица органов федерального государственного земельного контроля (надзора), органы муниципального земельного контроля наделяются правом выдавать предписания об устранении выявленных нарушений обязательных </w:t>
      </w:r>
      <w:proofErr w:type="gramStart"/>
      <w:r>
        <w:rPr>
          <w:sz w:val="27"/>
          <w:szCs w:val="27"/>
        </w:rPr>
        <w:t>требований</w:t>
      </w:r>
      <w:proofErr w:type="gramEnd"/>
      <w:r>
        <w:rPr>
          <w:sz w:val="27"/>
          <w:szCs w:val="27"/>
        </w:rPr>
        <w:t xml:space="preserve"> в случае выявления нарушений названных требований в ходе наблюдения за их соблюдением. Предметом муниципального земельного контроля будет соблюдение обязательных требований к использованию и охране земель</w:t>
      </w:r>
      <w:r>
        <w:rPr>
          <w:rStyle w:val="af3"/>
          <w:sz w:val="27"/>
          <w:szCs w:val="27"/>
        </w:rPr>
        <w:footnoteReference w:id="6"/>
      </w:r>
      <w:r>
        <w:rPr>
          <w:sz w:val="27"/>
          <w:szCs w:val="27"/>
        </w:rPr>
        <w:t xml:space="preserve">. Определяется, что в случае осуществления муниципального земельного </w:t>
      </w:r>
      <w:r>
        <w:rPr>
          <w:sz w:val="27"/>
          <w:szCs w:val="27"/>
        </w:rPr>
        <w:lastRenderedPageBreak/>
        <w:t xml:space="preserve">контроля органами государственной власти субъектов Российской </w:t>
      </w:r>
      <w:proofErr w:type="gramStart"/>
      <w:r>
        <w:rPr>
          <w:sz w:val="27"/>
          <w:szCs w:val="27"/>
        </w:rPr>
        <w:t>Федерации</w:t>
      </w:r>
      <w:proofErr w:type="gramEnd"/>
      <w:r>
        <w:rPr>
          <w:sz w:val="27"/>
          <w:szCs w:val="27"/>
        </w:rPr>
        <w:t xml:space="preserve"> в порядке перераспределения полномочий названный указанный контроль осуществляется в соответствии с положением,</w:t>
      </w:r>
      <w:r>
        <w:rPr>
          <w:sz w:val="27"/>
          <w:szCs w:val="27"/>
          <w:u w:val="single"/>
        </w:rPr>
        <w:t xml:space="preserve"> утверждаемым уполномоченным органом государственной власти субъекта Российской Федерации</w:t>
      </w:r>
      <w:r>
        <w:rPr>
          <w:rStyle w:val="af3"/>
          <w:sz w:val="27"/>
          <w:szCs w:val="27"/>
        </w:rPr>
        <w:footnoteReference w:id="7"/>
      </w:r>
      <w:r>
        <w:rPr>
          <w:sz w:val="27"/>
          <w:szCs w:val="27"/>
        </w:rPr>
        <w:t>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Федеральным законом № 478-ФЗ статья 3 Федерального закона от 25 октября 2001 года № 137-ФЗ «О введении в действие Земельного кодекса Российской Федерации» дополнена пунктом 7.1, согласно которому в случае, если у гражданина или юридического лица, являющихся собственниками зданий, сооружений (помещений и (или) </w:t>
      </w:r>
      <w:proofErr w:type="spellStart"/>
      <w:r>
        <w:rPr>
          <w:sz w:val="27"/>
          <w:szCs w:val="27"/>
        </w:rPr>
        <w:t>машино</w:t>
      </w:r>
      <w:proofErr w:type="spellEnd"/>
      <w:r>
        <w:rPr>
          <w:sz w:val="27"/>
          <w:szCs w:val="27"/>
        </w:rPr>
        <w:t>-мест в зданиях, сооружениях), отсутствуют предусмотренные ЗК права на земельные участки, находящиеся в государственной или муниципальной собственности, на которых</w:t>
      </w:r>
      <w:proofErr w:type="gramEnd"/>
      <w:r>
        <w:rPr>
          <w:sz w:val="27"/>
          <w:szCs w:val="27"/>
        </w:rPr>
        <w:t xml:space="preserve"> расположены такие здания, сооружения, указанные лица обязаны приобрести такие земельные участки в собственность или в аренду в соответствии с ЗК, за исключением случаев, если для возникновения прав на такие земельные участки предоставление земельных участков не требуется.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Градостроительном кодексе Российской Федерации Федеральным законом </w:t>
      </w:r>
      <w:r>
        <w:rPr>
          <w:sz w:val="27"/>
          <w:szCs w:val="27"/>
        </w:rPr>
        <w:br/>
        <w:t>№ 487-ФЗ, в частности, уточняется, что при строительстве или реконструкции гаража и хозяйственных построек на земельных участках, предназначенных для индивидуального жилищного строительства, ведения личного подсобного хозяйства, ведения гражданами садоводства для собственных нужд, а также строительства или реконструкции гаражей на земельных участках, предназначенных для строительства гаражей для собственных нужд, не требуется осуществление подготовки проектной документации</w:t>
      </w:r>
      <w:proofErr w:type="gramEnd"/>
      <w:r>
        <w:rPr>
          <w:rStyle w:val="af3"/>
          <w:sz w:val="27"/>
          <w:szCs w:val="27"/>
        </w:rPr>
        <w:footnoteReference w:id="8"/>
      </w:r>
      <w:r>
        <w:rPr>
          <w:sz w:val="27"/>
          <w:szCs w:val="27"/>
        </w:rPr>
        <w:t>. Кроме того, закрепляется порядок определения дня, с которого строительство или реконструкция здания, сооружения считаются завершенными</w:t>
      </w:r>
      <w:r>
        <w:rPr>
          <w:rStyle w:val="af3"/>
          <w:sz w:val="27"/>
          <w:szCs w:val="27"/>
        </w:rPr>
        <w:footnoteReference w:id="9"/>
      </w:r>
      <w:r>
        <w:rPr>
          <w:sz w:val="27"/>
          <w:szCs w:val="27"/>
        </w:rPr>
        <w:t>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Изменениями, внесенными в Федеральный закон от 30 декабря 2004 года </w:t>
      </w:r>
      <w:r>
        <w:rPr>
          <w:sz w:val="27"/>
          <w:szCs w:val="27"/>
        </w:rPr>
        <w:br/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на застройщика или унитарную некоммерческую организацию в организационно-правовой форме фонда, созданную субъектом Российской Федерации (Фонд субъекта Российской Федерации) возлагаются обязанности по государственной регистрации права собственности участника долевого строительства</w:t>
      </w:r>
      <w:proofErr w:type="gramEnd"/>
      <w:r>
        <w:rPr>
          <w:sz w:val="27"/>
          <w:szCs w:val="27"/>
        </w:rPr>
        <w:t xml:space="preserve"> на объект долевого строительства в электронной форме и определяется порядок осуществления названной государственной регистрации, а также устанавливается порядок регистрации права собственности застройщика на помещения и </w:t>
      </w:r>
      <w:proofErr w:type="spellStart"/>
      <w:r>
        <w:rPr>
          <w:sz w:val="27"/>
          <w:szCs w:val="27"/>
        </w:rPr>
        <w:t>машино</w:t>
      </w:r>
      <w:proofErr w:type="spellEnd"/>
      <w:r>
        <w:rPr>
          <w:sz w:val="27"/>
          <w:szCs w:val="27"/>
        </w:rPr>
        <w:t>-места в многоквартирном доме, созданные без привлечения средств участников долевого строительства</w:t>
      </w:r>
      <w:r>
        <w:rPr>
          <w:rStyle w:val="af3"/>
          <w:sz w:val="27"/>
          <w:szCs w:val="27"/>
        </w:rPr>
        <w:footnoteReference w:id="10"/>
      </w:r>
      <w:r>
        <w:rPr>
          <w:sz w:val="27"/>
          <w:szCs w:val="27"/>
        </w:rPr>
        <w:t>.</w:t>
      </w:r>
    </w:p>
    <w:p w:rsidR="00C12713" w:rsidRDefault="00BE288D">
      <w:pPr>
        <w:pStyle w:val="af8"/>
        <w:keepNext/>
        <w:widowControl w:val="0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 xml:space="preserve">В Федеральном законе от 13 июля 2015 года № 218-ФЗ «О государственной регистрации недвижимости» дополняются основания для возврата без  рассмотрения заявления и документов, представленных для осуществления государственного кадастрового учета и государственной регистрации прав. Предусматриваются новые основания для приостановления государственного кадастрового учета и </w:t>
      </w:r>
      <w:r>
        <w:rPr>
          <w:sz w:val="27"/>
          <w:szCs w:val="27"/>
        </w:rPr>
        <w:lastRenderedPageBreak/>
        <w:t xml:space="preserve">государственной регистрации прав, в частности </w:t>
      </w:r>
      <w:r>
        <w:rPr>
          <w:sz w:val="27"/>
          <w:szCs w:val="27"/>
          <w:u w:val="single"/>
        </w:rPr>
        <w:t>в связи с отсутствием сведений о месторасположении границ земельного участка</w:t>
      </w:r>
      <w:r>
        <w:rPr>
          <w:rStyle w:val="af3"/>
          <w:sz w:val="27"/>
          <w:szCs w:val="27"/>
          <w:u w:val="single"/>
        </w:rPr>
        <w:footnoteReference w:id="11"/>
      </w:r>
      <w:r>
        <w:rPr>
          <w:sz w:val="27"/>
          <w:szCs w:val="27"/>
          <w:u w:val="single"/>
        </w:rPr>
        <w:t>.</w:t>
      </w:r>
      <w:r>
        <w:rPr>
          <w:sz w:val="27"/>
          <w:szCs w:val="27"/>
        </w:rPr>
        <w:t xml:space="preserve"> Расширяются основания для отказа во внесении в Единый государственный реестр недвижимости сведений о ранее учтенных объектах недвижимости или сведений о выявленных правообладателях таких объектов недвижимости.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Законом Новосибирской области от 18 декабря 2015 года № 27-ОЗ </w:t>
      </w:r>
      <w:r>
        <w:rPr>
          <w:sz w:val="27"/>
          <w:szCs w:val="27"/>
        </w:rPr>
        <w:br/>
        <w:t>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перераспределены полномочия по распоряжению земельными участками, которые расположены в границах ряда муниципальных образований Новосибирской области.</w:t>
      </w:r>
      <w:proofErr w:type="gramEnd"/>
      <w:r>
        <w:rPr>
          <w:sz w:val="27"/>
          <w:szCs w:val="27"/>
        </w:rPr>
        <w:t xml:space="preserve"> В случае принятия решения о необходимости перераспределения полномочий по осуществлению муниципального земельного контроля, потребуется закрепление полномочия по утверждению положения об осуществлении муниципального земельного </w:t>
      </w:r>
      <w:proofErr w:type="gramStart"/>
      <w:r>
        <w:rPr>
          <w:sz w:val="27"/>
          <w:szCs w:val="27"/>
        </w:rPr>
        <w:t>контроля за</w:t>
      </w:r>
      <w:proofErr w:type="gramEnd"/>
      <w:r>
        <w:rPr>
          <w:sz w:val="27"/>
          <w:szCs w:val="27"/>
        </w:rPr>
        <w:t xml:space="preserve"> соответствующим исполнительным органом Новосибирской области. </w:t>
      </w:r>
    </w:p>
    <w:p w:rsidR="00C12713" w:rsidRDefault="00C12713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</w:p>
    <w:p w:rsidR="00C12713" w:rsidRDefault="00BE288D">
      <w:pPr>
        <w:pStyle w:val="af8"/>
        <w:tabs>
          <w:tab w:val="left" w:pos="993"/>
        </w:tabs>
        <w:ind w:left="0"/>
        <w:jc w:val="center"/>
        <w:rPr>
          <w:sz w:val="27"/>
          <w:szCs w:val="27"/>
        </w:rPr>
      </w:pPr>
      <w:r>
        <w:rPr>
          <w:sz w:val="27"/>
          <w:szCs w:val="27"/>
        </w:rPr>
        <w:t>****</w:t>
      </w:r>
    </w:p>
    <w:p w:rsidR="00C12713" w:rsidRDefault="00C12713">
      <w:pPr>
        <w:pStyle w:val="af8"/>
        <w:tabs>
          <w:tab w:val="left" w:pos="993"/>
        </w:tabs>
        <w:ind w:left="0"/>
        <w:jc w:val="center"/>
        <w:rPr>
          <w:sz w:val="27"/>
          <w:szCs w:val="27"/>
        </w:rPr>
      </w:pP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Анализ Закона Новосибирской области от 30 декабря 2003 года № 162-ОЗ «Об обороте земель сельскохозяйственного назначения на территории Новосибирской области» и Закона Новосибирской области от 2 ноября 2022 года № 255-ОЗ </w:t>
      </w:r>
      <w:r>
        <w:rPr>
          <w:sz w:val="27"/>
          <w:szCs w:val="27"/>
        </w:rPr>
        <w:br/>
        <w:t>«О составе мероприятий, направленных на выявление лиц, использующих расположенные в границах муниципальных образований Новосибирской области гаражи, права на которые не зарегистрированы в Едином государственном реестре недвижимости, и порядке их осуществления», проведенный</w:t>
      </w:r>
      <w:proofErr w:type="gramEnd"/>
      <w:r>
        <w:rPr>
          <w:sz w:val="27"/>
          <w:szCs w:val="27"/>
        </w:rPr>
        <w:t xml:space="preserve"> в связи с принятием Федерального закона № 478-ФЗ, выявил основания для внесения редакционных изменений в их отдельные положения: 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1) в части 4 статьи 11 Закона Новосибирской области от 30 декабря 2003 года </w:t>
      </w:r>
      <w:r>
        <w:rPr>
          <w:sz w:val="27"/>
          <w:szCs w:val="27"/>
        </w:rPr>
        <w:br/>
        <w:t>№ 162-ОЗ «Об обороте земель сельскохозяйственного назначения на территории Новосибирской области» предлагаю слова «государственного земельного надзора» заменить словами «федерального государственного земельного контроля (надзора)», учитывая, что в абзац первый пункта 4 статьи 10 Федеральный закон от 24 июля 2002 года № 101-ФЗ «Об обороте земель сельскохозяйственного назначения» изменения не</w:t>
      </w:r>
      <w:proofErr w:type="gramEnd"/>
      <w:r>
        <w:rPr>
          <w:sz w:val="27"/>
          <w:szCs w:val="27"/>
        </w:rPr>
        <w:t xml:space="preserve"> вносились (указанные положения Закона Новосибирской области полностью дублируют положения Федерального закона)</w:t>
      </w:r>
      <w:r>
        <w:rPr>
          <w:rStyle w:val="af3"/>
          <w:sz w:val="27"/>
          <w:szCs w:val="27"/>
        </w:rPr>
        <w:footnoteReference w:id="12"/>
      </w:r>
      <w:r>
        <w:rPr>
          <w:sz w:val="27"/>
          <w:szCs w:val="27"/>
        </w:rPr>
        <w:t>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 xml:space="preserve">2) в Законе Новосибирской области от 2 ноября 2022 года № 255-ОЗ «О составе мероприятий, направленных на выявление лиц, использующих расположенные в границах муниципальных образований Новосибирской области гаражи, права на </w:t>
      </w:r>
      <w:r>
        <w:rPr>
          <w:sz w:val="27"/>
          <w:szCs w:val="27"/>
        </w:rPr>
        <w:lastRenderedPageBreak/>
        <w:t>которые не зарегистрированы в Едином государственном реестре недвижимости, и порядке их осуществления» предлагаю: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а) в статье 1 слова «мероприятия, направленные на выявление лиц, использующих» исключить;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б) в статье 2: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 абзаце первом слова «, расположенные в границах соответствующих муниципальных образований Новосибирской области (далее - гаражи, права на которые не зарегистрированы в Едином государственном реестре недвижимости)» исключить;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 пункте 2 после слов «Едином государственном реестре недвижимости» дополнить словами «(далее – перечень гаражей)»;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в) в статье 3: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 пункте 3 части 2 слова «государственного земельного надзора» заменить словами «федерального государственного земельного контроля (надзора)»;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 части 3 в абзаце первом слова  «, права на которые не зарегистрированы в Едином государственном реестре недвижимости (далее - перечень гаражей)</w:t>
      </w:r>
      <w:proofErr w:type="gramStart"/>
      <w:r>
        <w:rPr>
          <w:sz w:val="27"/>
          <w:szCs w:val="27"/>
        </w:rPr>
        <w:t>,»</w:t>
      </w:r>
      <w:proofErr w:type="gramEnd"/>
      <w:r>
        <w:rPr>
          <w:sz w:val="27"/>
          <w:szCs w:val="27"/>
        </w:rPr>
        <w:t xml:space="preserve"> исключить, в абзаце втором после слов «местонахождении гаража» дополнить словами «, право на который не зарегистрировано в Едином государственном реестре недвижимости», слова «адрес гаража или при его отсутствии описание местоположения гаража» заменить словами «адрес или при отсутствии адреса - описание местоположения»;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 пункте 1 части 5 слова «государственного земельного надзора» заменить словами «федерального государственного земельного контроля (надзора)».</w:t>
      </w:r>
    </w:p>
    <w:p w:rsidR="00C12713" w:rsidRDefault="00BE288D">
      <w:pPr>
        <w:pStyle w:val="af8"/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Считаю необходимым направить настоящие предложения</w:t>
      </w:r>
      <w:r>
        <w:rPr>
          <w:rStyle w:val="af3"/>
          <w:sz w:val="27"/>
          <w:szCs w:val="27"/>
        </w:rPr>
        <w:footnoteReference w:id="13"/>
      </w:r>
      <w:r>
        <w:rPr>
          <w:sz w:val="27"/>
          <w:szCs w:val="27"/>
        </w:rPr>
        <w:t xml:space="preserve"> в комитет Законодательного Собрания Новосибирской области </w:t>
      </w:r>
      <w:r>
        <w:rPr>
          <w:b/>
          <w:i/>
          <w:sz w:val="27"/>
          <w:szCs w:val="27"/>
        </w:rPr>
        <w:t xml:space="preserve">по строительству, жилищно-коммунальному комплексу и тарифам </w:t>
      </w:r>
      <w:r>
        <w:rPr>
          <w:sz w:val="27"/>
          <w:szCs w:val="27"/>
        </w:rPr>
        <w:t xml:space="preserve">для сведения, в комитет Законодательного Собрания Новосибирской области </w:t>
      </w:r>
      <w:r>
        <w:rPr>
          <w:b/>
          <w:bCs/>
          <w:i/>
          <w:iCs/>
          <w:sz w:val="27"/>
          <w:szCs w:val="27"/>
        </w:rPr>
        <w:t>по аграрной политике, природным ресурсам и земельным отношениям</w:t>
      </w:r>
      <w:r>
        <w:rPr>
          <w:sz w:val="27"/>
          <w:szCs w:val="27"/>
        </w:rPr>
        <w:t xml:space="preserve">, в комитет Законодательного Собрания Новосибирской области </w:t>
      </w:r>
      <w:r>
        <w:rPr>
          <w:b/>
          <w:bCs/>
          <w:i/>
          <w:iCs/>
          <w:sz w:val="27"/>
          <w:szCs w:val="27"/>
        </w:rPr>
        <w:t>по бюджетной, финансово-экономической политике и собственности</w:t>
      </w:r>
      <w:bookmarkStart w:id="1" w:name="undefined"/>
      <w:bookmarkEnd w:id="1"/>
      <w:r>
        <w:rPr>
          <w:b/>
          <w:bCs/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для использования в работе.</w:t>
      </w:r>
    </w:p>
    <w:p w:rsidR="00C12713" w:rsidRDefault="00C12713">
      <w:pPr>
        <w:tabs>
          <w:tab w:val="left" w:pos="993"/>
        </w:tabs>
        <w:outlineLvl w:val="0"/>
        <w:rPr>
          <w:sz w:val="27"/>
          <w:szCs w:val="27"/>
        </w:rPr>
      </w:pPr>
    </w:p>
    <w:p w:rsidR="00C12713" w:rsidRDefault="00C12713">
      <w:pPr>
        <w:tabs>
          <w:tab w:val="left" w:pos="993"/>
        </w:tabs>
        <w:outlineLvl w:val="0"/>
        <w:rPr>
          <w:sz w:val="27"/>
          <w:szCs w:val="27"/>
        </w:rPr>
      </w:pPr>
    </w:p>
    <w:p w:rsidR="00C12713" w:rsidRDefault="00C12713">
      <w:pPr>
        <w:tabs>
          <w:tab w:val="left" w:pos="993"/>
        </w:tabs>
        <w:outlineLvl w:val="0"/>
        <w:rPr>
          <w:sz w:val="27"/>
          <w:szCs w:val="27"/>
        </w:rPr>
      </w:pPr>
    </w:p>
    <w:p w:rsidR="00C12713" w:rsidRDefault="00BE288D">
      <w:pPr>
        <w:tabs>
          <w:tab w:val="left" w:pos="993"/>
        </w:tabs>
        <w:outlineLvl w:val="0"/>
        <w:rPr>
          <w:sz w:val="27"/>
          <w:szCs w:val="27"/>
        </w:rPr>
      </w:pPr>
      <w:r>
        <w:rPr>
          <w:sz w:val="27"/>
          <w:szCs w:val="27"/>
        </w:rPr>
        <w:t>Начальник департамента</w:t>
      </w:r>
    </w:p>
    <w:p w:rsidR="00C12713" w:rsidRDefault="00BE288D">
      <w:pPr>
        <w:tabs>
          <w:tab w:val="left" w:pos="993"/>
          <w:tab w:val="right" w:pos="10205"/>
        </w:tabs>
        <w:outlineLvl w:val="0"/>
        <w:rPr>
          <w:sz w:val="27"/>
          <w:szCs w:val="27"/>
        </w:rPr>
      </w:pPr>
      <w:r>
        <w:rPr>
          <w:sz w:val="27"/>
          <w:szCs w:val="27"/>
        </w:rPr>
        <w:t>по правовым вопросам</w:t>
      </w:r>
      <w:r>
        <w:rPr>
          <w:sz w:val="27"/>
          <w:szCs w:val="27"/>
        </w:rPr>
        <w:tab/>
        <w:t xml:space="preserve">Т.А. </w:t>
      </w:r>
      <w:proofErr w:type="spellStart"/>
      <w:r>
        <w:rPr>
          <w:sz w:val="27"/>
          <w:szCs w:val="27"/>
        </w:rPr>
        <w:t>Варда</w:t>
      </w:r>
      <w:proofErr w:type="spellEnd"/>
    </w:p>
    <w:p w:rsidR="00C12713" w:rsidRDefault="00C12713">
      <w:pPr>
        <w:pStyle w:val="af8"/>
        <w:tabs>
          <w:tab w:val="right" w:pos="10205"/>
        </w:tabs>
        <w:ind w:left="0"/>
        <w:rPr>
          <w:sz w:val="27"/>
          <w:szCs w:val="27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27"/>
          <w:szCs w:val="27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C12713">
      <w:pPr>
        <w:pStyle w:val="af8"/>
        <w:tabs>
          <w:tab w:val="right" w:pos="10205"/>
        </w:tabs>
        <w:ind w:left="0"/>
        <w:rPr>
          <w:sz w:val="18"/>
          <w:szCs w:val="18"/>
        </w:rPr>
      </w:pPr>
    </w:p>
    <w:p w:rsidR="00C12713" w:rsidRDefault="00BE288D">
      <w:pPr>
        <w:pStyle w:val="af8"/>
        <w:tabs>
          <w:tab w:val="right" w:pos="10205"/>
        </w:tabs>
        <w:ind w:left="0"/>
        <w:rPr>
          <w:sz w:val="18"/>
          <w:szCs w:val="18"/>
        </w:rPr>
      </w:pPr>
      <w:r>
        <w:rPr>
          <w:sz w:val="18"/>
          <w:szCs w:val="18"/>
        </w:rPr>
        <w:t>Волченко Елена Сергеевна</w:t>
      </w:r>
    </w:p>
    <w:p w:rsidR="00C12713" w:rsidRDefault="00BE288D">
      <w:pPr>
        <w:pStyle w:val="af8"/>
        <w:tabs>
          <w:tab w:val="right" w:pos="10205"/>
        </w:tabs>
        <w:ind w:left="0"/>
      </w:pPr>
      <w:r>
        <w:rPr>
          <w:sz w:val="18"/>
          <w:szCs w:val="18"/>
        </w:rPr>
        <w:t>8 (383) 296 54 53</w:t>
      </w:r>
    </w:p>
    <w:sectPr w:rsidR="00C12713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4A" w:rsidRDefault="00DA4F4A">
      <w:r>
        <w:separator/>
      </w:r>
    </w:p>
  </w:endnote>
  <w:endnote w:type="continuationSeparator" w:id="0">
    <w:p w:rsidR="00DA4F4A" w:rsidRDefault="00D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4A" w:rsidRDefault="00DA4F4A">
      <w:r>
        <w:separator/>
      </w:r>
    </w:p>
  </w:footnote>
  <w:footnote w:type="continuationSeparator" w:id="0">
    <w:p w:rsidR="00DA4F4A" w:rsidRDefault="00DA4F4A">
      <w:r>
        <w:continuationSeparator/>
      </w:r>
    </w:p>
  </w:footnote>
  <w:footnote w:id="1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За исключением отдельного положения, для которого частью 2 статьи 7 Федерального закона № 487-ФЗ установлен иной срок вступления в силу.</w:t>
      </w:r>
    </w:p>
  </w:footnote>
  <w:footnote w:id="2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Абзац второй статьи 42 ЗК.</w:t>
      </w:r>
    </w:p>
  </w:footnote>
  <w:footnote w:id="3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Подпункт 1 пункта 2 статьи 45 ЗК.</w:t>
      </w:r>
    </w:p>
  </w:footnote>
  <w:footnote w:id="4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Статья 71 ЗК.</w:t>
      </w:r>
    </w:p>
  </w:footnote>
  <w:footnote w:id="5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Статья 72 ЗК.</w:t>
      </w:r>
    </w:p>
  </w:footnote>
  <w:footnote w:id="6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Пункт 5 статьи 71, пункт 4 статьи 72 ЗК</w:t>
      </w:r>
    </w:p>
  </w:footnote>
  <w:footnote w:id="7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Пункт 1 статьи 72 ЗК.</w:t>
      </w:r>
    </w:p>
  </w:footnote>
  <w:footnote w:id="8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Часть 3 статьи 48 Градостроительного кодекса Российской Федерации.</w:t>
      </w:r>
    </w:p>
  </w:footnote>
  <w:footnote w:id="9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Части 12-15 статьи 52 Градостроительного кодекса Российской Федерации.</w:t>
      </w:r>
    </w:p>
  </w:footnote>
  <w:footnote w:id="10">
    <w:p w:rsidR="00C12713" w:rsidRDefault="00BE288D">
      <w:pPr>
        <w:pStyle w:val="af1"/>
        <w:widowControl w:val="0"/>
      </w:pPr>
      <w:r>
        <w:rPr>
          <w:rStyle w:val="af3"/>
        </w:rPr>
        <w:footnoteRef/>
      </w:r>
      <w:r>
        <w:t xml:space="preserve"> Статья 16, часть 2 статьи 21.2 Федерального закона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</w:p>
  </w:footnote>
  <w:footnote w:id="11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Пункты 21.1, 21.2 части 1 статьи 26 Федерального закона от 13 июля 2015 года № 218-ФЗ «О государственной регистрации недвижимости».</w:t>
      </w:r>
    </w:p>
  </w:footnote>
  <w:footnote w:id="12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Обращаю внимание, что термин «государственный земельный надзор» является сокращением термина «федеральный государственный земельный контроль (надзор)» в целях ЗК (подпункт 3 пункта 1 статьи 9 ЗК), при этом в Федеральном законе от 24 июля 2002 года № 101-ФЗ «Об обороте земель сельскохозяйственного назначения» аналогичное сокращение не вводилось.</w:t>
      </w:r>
    </w:p>
  </w:footnote>
  <w:footnote w:id="13">
    <w:p w:rsidR="00C12713" w:rsidRDefault="00BE288D">
      <w:pPr>
        <w:pStyle w:val="af1"/>
      </w:pPr>
      <w:r>
        <w:rPr>
          <w:rStyle w:val="af3"/>
        </w:rPr>
        <w:footnoteRef/>
      </w:r>
      <w:r>
        <w:t xml:space="preserve"> Предложения размещены на внутреннем информационном корпоративном сайте http://iks.sovet-nso.ru/«Аналитическая информация»/Предложения по приведению областного законодательства в соответствие</w:t>
      </w:r>
      <w:r>
        <w:br/>
        <w:t>с федеральным законодательством, его систематизации, совершенствованию.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091268"/>
      <w:docPartObj>
        <w:docPartGallery w:val="Page Numbers (Top of Page)"/>
        <w:docPartUnique/>
      </w:docPartObj>
    </w:sdtPr>
    <w:sdtEndPr/>
    <w:sdtContent>
      <w:p w:rsidR="00C12713" w:rsidRDefault="00BE288D">
        <w:pPr>
          <w:pStyle w:val="af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1C2345">
          <w:rPr>
            <w:noProof/>
            <w:sz w:val="24"/>
            <w:szCs w:val="24"/>
          </w:rPr>
          <w:t>4</w:t>
        </w:r>
        <w:r>
          <w:rPr>
            <w:sz w:val="24"/>
            <w:szCs w:val="24"/>
          </w:rPr>
          <w:fldChar w:fldCharType="end"/>
        </w:r>
      </w:p>
    </w:sdtContent>
  </w:sdt>
  <w:p w:rsidR="00C12713" w:rsidRDefault="00C12713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713"/>
    <w:rsid w:val="001C2345"/>
    <w:rsid w:val="00BE288D"/>
    <w:rsid w:val="00C12713"/>
    <w:rsid w:val="00DA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footnote text"/>
    <w:basedOn w:val="a"/>
    <w:link w:val="af2"/>
    <w:uiPriority w:val="99"/>
    <w:semiHidden/>
    <w:unhideWhenUsed/>
    <w:pPr>
      <w:keepLines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footnote text"/>
    <w:basedOn w:val="a"/>
    <w:link w:val="af2"/>
    <w:uiPriority w:val="99"/>
    <w:semiHidden/>
    <w:unhideWhenUsed/>
    <w:pPr>
      <w:keepLines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s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4D90-285A-4950-AF68-D9B1DDF5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1413</Words>
  <Characters>8060</Characters>
  <Application>Microsoft Office Word</Application>
  <DocSecurity>0</DocSecurity>
  <Lines>67</Lines>
  <Paragraphs>18</Paragraphs>
  <ScaleCrop>false</ScaleCrop>
  <Company/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Волченко Елена Сергеевна</dc:creator>
  <cp:lastModifiedBy>Кожевникова Оксана Сергеевна</cp:lastModifiedBy>
  <cp:revision>4</cp:revision>
  <dcterms:created xsi:type="dcterms:W3CDTF">2025-03-05T09:43:00Z</dcterms:created>
  <dcterms:modified xsi:type="dcterms:W3CDTF">2025-10-15T10:32:00Z</dcterms:modified>
</cp:coreProperties>
</file>